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C98" w:rsidRDefault="00DD4847" w:rsidP="00DB0C98">
      <w:r>
        <w:t xml:space="preserve">Runzheimer </w:t>
      </w:r>
      <w:proofErr w:type="gramStart"/>
      <w:r>
        <w:t>International  Total</w:t>
      </w:r>
      <w:proofErr w:type="gramEnd"/>
      <w:r>
        <w:t xml:space="preserve"> Employee Mobility </w:t>
      </w:r>
      <w:proofErr w:type="spellStart"/>
      <w:r>
        <w:t>Infographic</w:t>
      </w:r>
      <w:proofErr w:type="spellEnd"/>
      <w:r>
        <w:t xml:space="preserve"> Brief.</w:t>
      </w:r>
      <w:bookmarkStart w:id="0" w:name="_GoBack"/>
      <w:bookmarkEnd w:id="0"/>
    </w:p>
    <w:p w:rsidR="00DB0C98" w:rsidRDefault="00940D7D" w:rsidP="00DB0C98">
      <w:r w:rsidRPr="00DD4847">
        <w:rPr>
          <w:b/>
        </w:rPr>
        <w:t>Graphic #1</w:t>
      </w:r>
      <w:r>
        <w:t xml:space="preserve"> T</w:t>
      </w:r>
      <w:r w:rsidR="00DB0C98">
        <w:t>EM Overall</w:t>
      </w:r>
      <w:r>
        <w:t xml:space="preserve"> Key Findings</w:t>
      </w:r>
      <w:r w:rsidR="00DB0C98">
        <w:t>:</w:t>
      </w:r>
    </w:p>
    <w:p w:rsidR="000E7B14" w:rsidRDefault="00AA5641" w:rsidP="00AA5641">
      <w:pPr>
        <w:pStyle w:val="ListParagraph"/>
        <w:numPr>
          <w:ilvl w:val="0"/>
          <w:numId w:val="1"/>
        </w:numPr>
      </w:pPr>
      <w:r>
        <w:t xml:space="preserve">30% </w:t>
      </w:r>
      <w:r w:rsidR="00940D7D">
        <w:t xml:space="preserve">of  the workforce is </w:t>
      </w:r>
      <w:r>
        <w:t>mobile</w:t>
      </w:r>
      <w:r w:rsidR="00940D7D">
        <w:t xml:space="preserve"> – which means they travel, drive vehicles, or relocate for business  </w:t>
      </w:r>
      <w:r>
        <w:t xml:space="preserve"> /70% non-mobile</w:t>
      </w:r>
    </w:p>
    <w:p w:rsidR="00940D7D" w:rsidRDefault="00AA5641" w:rsidP="00AA5641">
      <w:pPr>
        <w:pStyle w:val="ListParagraph"/>
        <w:numPr>
          <w:ilvl w:val="0"/>
          <w:numId w:val="1"/>
        </w:numPr>
      </w:pPr>
      <w:r>
        <w:t xml:space="preserve">Companies with mobility programs have higher </w:t>
      </w:r>
      <w:proofErr w:type="gramStart"/>
      <w:r>
        <w:t xml:space="preserve">productivity </w:t>
      </w:r>
      <w:r w:rsidR="00940D7D">
        <w:t>.</w:t>
      </w:r>
      <w:proofErr w:type="gramEnd"/>
      <w:r w:rsidR="00940D7D">
        <w:t xml:space="preserve">  An average of 85% reported that they saw improved employee productivity after implementing a defined mobility program.</w:t>
      </w:r>
    </w:p>
    <w:p w:rsidR="00940D7D" w:rsidRDefault="00940D7D" w:rsidP="00AA5641">
      <w:pPr>
        <w:pStyle w:val="ListParagraph"/>
        <w:numPr>
          <w:ilvl w:val="0"/>
          <w:numId w:val="1"/>
        </w:numPr>
      </w:pPr>
      <w:r w:rsidRPr="008F7AFC">
        <w:rPr>
          <w:noProof/>
          <w:sz w:val="32"/>
        </w:rPr>
        <w:drawing>
          <wp:inline distT="0" distB="0" distL="0" distR="0" wp14:anchorId="6D9D532E" wp14:editId="478D0AA4">
            <wp:extent cx="5943600" cy="2730230"/>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DD4847" w:rsidRDefault="00DD4847" w:rsidP="00DD4847">
      <w:pPr>
        <w:pStyle w:val="ListParagraph"/>
      </w:pPr>
    </w:p>
    <w:p w:rsidR="00AA5641" w:rsidRDefault="00AA5641" w:rsidP="00AA5641">
      <w:pPr>
        <w:pStyle w:val="ListParagraph"/>
        <w:numPr>
          <w:ilvl w:val="0"/>
          <w:numId w:val="1"/>
        </w:numPr>
      </w:pPr>
      <w:r>
        <w:t>Growing organizations are investing in mobility</w:t>
      </w:r>
      <w:r w:rsidR="00DD4847">
        <w:t>.  Companies with 10% or more annual growth in revenue have more mobile employees than companies with low growth.</w:t>
      </w:r>
    </w:p>
    <w:p w:rsidR="00AA5641" w:rsidRDefault="00AA5641" w:rsidP="00AA5641">
      <w:pPr>
        <w:pStyle w:val="ListParagraph"/>
        <w:numPr>
          <w:ilvl w:val="0"/>
          <w:numId w:val="1"/>
        </w:numPr>
      </w:pPr>
      <w:r>
        <w:t>Mobility differences between high</w:t>
      </w:r>
      <w:r w:rsidR="00DD4847">
        <w:t>-growth and low-growth companies:  growth organizations invest average of $11,779/mobile employee  and non-growth organizations only invest an average of %6,527/mobile employee</w:t>
      </w:r>
    </w:p>
    <w:p w:rsidR="00AA5641" w:rsidRDefault="00AA5641" w:rsidP="00AA5641"/>
    <w:p w:rsidR="00AA5641" w:rsidRDefault="00DD4847" w:rsidP="00AA5641">
      <w:r>
        <w:rPr>
          <w:b/>
        </w:rPr>
        <w:t>Graphic #</w:t>
      </w:r>
      <w:proofErr w:type="gramStart"/>
      <w:r>
        <w:rPr>
          <w:b/>
        </w:rPr>
        <w:t xml:space="preserve">2  </w:t>
      </w:r>
      <w:r w:rsidR="00AA5641">
        <w:t>Travel</w:t>
      </w:r>
      <w:proofErr w:type="gramEnd"/>
      <w:r w:rsidR="00AA5641">
        <w:t>:</w:t>
      </w:r>
    </w:p>
    <w:p w:rsidR="00AA5641" w:rsidRDefault="00AA5641" w:rsidP="00AA5641">
      <w:pPr>
        <w:pStyle w:val="ListParagraph"/>
        <w:numPr>
          <w:ilvl w:val="0"/>
          <w:numId w:val="2"/>
        </w:numPr>
      </w:pPr>
      <w:r>
        <w:t>Direct Spend/traveler</w:t>
      </w:r>
      <w:r w:rsidR="00DD4847">
        <w:t xml:space="preserve"> is $10,997</w:t>
      </w:r>
    </w:p>
    <w:p w:rsidR="00AA5641" w:rsidRDefault="00AA5641" w:rsidP="00AA5641">
      <w:pPr>
        <w:pStyle w:val="ListParagraph"/>
        <w:numPr>
          <w:ilvl w:val="0"/>
          <w:numId w:val="2"/>
        </w:numPr>
      </w:pPr>
      <w:r>
        <w:t>Support cost/traveler</w:t>
      </w:r>
      <w:r w:rsidR="00DD4847">
        <w:t xml:space="preserve"> is $713</w:t>
      </w:r>
    </w:p>
    <w:p w:rsidR="00AA5641" w:rsidRDefault="00AA5641" w:rsidP="00AA5641">
      <w:pPr>
        <w:pStyle w:val="ListParagraph"/>
        <w:numPr>
          <w:ilvl w:val="0"/>
          <w:numId w:val="2"/>
        </w:numPr>
      </w:pPr>
      <w:r>
        <w:t>Support costs as percentage of direct spend</w:t>
      </w:r>
      <w:r w:rsidR="00DD4847">
        <w:t xml:space="preserve"> is 10%</w:t>
      </w:r>
    </w:p>
    <w:p w:rsidR="00AA5641" w:rsidRDefault="00AA5641" w:rsidP="00AA5641">
      <w:pPr>
        <w:pStyle w:val="ListParagraph"/>
        <w:numPr>
          <w:ilvl w:val="0"/>
          <w:numId w:val="2"/>
        </w:numPr>
      </w:pPr>
      <w:r>
        <w:t>Participants with expense management software spent $2775 less</w:t>
      </w:r>
      <w:r w:rsidR="00DD4847">
        <w:t xml:space="preserve"> per traveler per year than companies using paper based reporting.</w:t>
      </w:r>
    </w:p>
    <w:p w:rsidR="00AA5641" w:rsidRDefault="00AA5641" w:rsidP="00AA5641"/>
    <w:p w:rsidR="00AA5641" w:rsidRDefault="00DD4847" w:rsidP="00AA5641">
      <w:r>
        <w:rPr>
          <w:b/>
        </w:rPr>
        <w:t>Graphic #</w:t>
      </w:r>
      <w:proofErr w:type="gramStart"/>
      <w:r>
        <w:rPr>
          <w:b/>
        </w:rPr>
        <w:t>3  Business</w:t>
      </w:r>
      <w:proofErr w:type="gramEnd"/>
      <w:r>
        <w:rPr>
          <w:b/>
        </w:rPr>
        <w:t xml:space="preserve"> Vehicles</w:t>
      </w:r>
      <w:r w:rsidR="00AA5641">
        <w:t>:</w:t>
      </w:r>
    </w:p>
    <w:p w:rsidR="00AA5641" w:rsidRDefault="00AA5641" w:rsidP="00DB0C98">
      <w:pPr>
        <w:pStyle w:val="ListParagraph"/>
        <w:numPr>
          <w:ilvl w:val="0"/>
          <w:numId w:val="3"/>
        </w:numPr>
      </w:pPr>
      <w:r>
        <w:t xml:space="preserve">Average direct spend/driver </w:t>
      </w:r>
      <w:r w:rsidR="00DD4847">
        <w:t xml:space="preserve"> is </w:t>
      </w:r>
      <w:r>
        <w:t>$8710</w:t>
      </w:r>
    </w:p>
    <w:p w:rsidR="00AA5641" w:rsidRDefault="00AA5641" w:rsidP="00DB0C98">
      <w:pPr>
        <w:pStyle w:val="ListParagraph"/>
        <w:numPr>
          <w:ilvl w:val="0"/>
          <w:numId w:val="3"/>
        </w:numPr>
      </w:pPr>
      <w:r>
        <w:lastRenderedPageBreak/>
        <w:t>Support cost/driver</w:t>
      </w:r>
      <w:r w:rsidR="00DD4847">
        <w:t xml:space="preserve"> is $699</w:t>
      </w:r>
    </w:p>
    <w:p w:rsidR="00AA5641" w:rsidRDefault="00AA5641" w:rsidP="00DB0C98">
      <w:pPr>
        <w:pStyle w:val="ListParagraph"/>
        <w:numPr>
          <w:ilvl w:val="0"/>
          <w:numId w:val="3"/>
        </w:numPr>
      </w:pPr>
      <w:r>
        <w:t>Support costs as percentage of direct spend</w:t>
      </w:r>
      <w:r w:rsidR="00DD4847">
        <w:t xml:space="preserve"> is 9.5%</w:t>
      </w:r>
    </w:p>
    <w:p w:rsidR="00AA5641" w:rsidRDefault="00AA5641" w:rsidP="00DB0C98">
      <w:pPr>
        <w:pStyle w:val="ListParagraph"/>
        <w:numPr>
          <w:ilvl w:val="0"/>
          <w:numId w:val="3"/>
        </w:numPr>
      </w:pPr>
      <w:r>
        <w:t>High growth companies have gre</w:t>
      </w:r>
      <w:r w:rsidR="00DD4847">
        <w:t xml:space="preserve">ater efficiency:  high growth: one full-time support person can </w:t>
      </w:r>
      <w:r>
        <w:t xml:space="preserve">support </w:t>
      </w:r>
      <w:r w:rsidR="00DD4847">
        <w:t xml:space="preserve">731 business </w:t>
      </w:r>
      <w:proofErr w:type="gramStart"/>
      <w:r w:rsidR="00DD4847">
        <w:t>drivers</w:t>
      </w:r>
      <w:r>
        <w:t>,</w:t>
      </w:r>
      <w:proofErr w:type="gramEnd"/>
      <w:r>
        <w:t xml:space="preserve"> </w:t>
      </w:r>
      <w:r w:rsidR="00DD4847">
        <w:t xml:space="preserve">in a </w:t>
      </w:r>
      <w:r>
        <w:t>low growth</w:t>
      </w:r>
      <w:r w:rsidR="00DD4847">
        <w:t xml:space="preserve"> organization</w:t>
      </w:r>
      <w:r>
        <w:t xml:space="preserve"> 1 FTE supports</w:t>
      </w:r>
      <w:r w:rsidR="00DD4847">
        <w:t xml:space="preserve"> only 458</w:t>
      </w:r>
      <w:r>
        <w:t>.</w:t>
      </w:r>
      <w:r w:rsidR="00DD4847">
        <w:t xml:space="preserve"> This could be explained by the fact that high-growth organizations invest more in their mobile programs.</w:t>
      </w:r>
    </w:p>
    <w:p w:rsidR="00AA5641" w:rsidRDefault="00AA5641" w:rsidP="00DB0C98">
      <w:pPr>
        <w:pStyle w:val="ListParagraph"/>
        <w:numPr>
          <w:ilvl w:val="0"/>
          <w:numId w:val="3"/>
        </w:numPr>
      </w:pPr>
      <w:r>
        <w:t>Organizations outsourcing 50% or more of their business vehicle program have 22% lower average direct spend per mile and 45% lower support costs per mile.</w:t>
      </w:r>
    </w:p>
    <w:p w:rsidR="00AA5641" w:rsidRDefault="00AA5641" w:rsidP="00DB0C98">
      <w:pPr>
        <w:pStyle w:val="ListParagraph"/>
        <w:numPr>
          <w:ilvl w:val="0"/>
          <w:numId w:val="3"/>
        </w:numPr>
      </w:pPr>
      <w:r>
        <w:t>Graphic to show direct spend per driver…($10,808 for fleet programs vs. $8120 for reimbursement programs)</w:t>
      </w:r>
    </w:p>
    <w:p w:rsidR="00AA5641" w:rsidRDefault="00AA5641" w:rsidP="00AA5641"/>
    <w:p w:rsidR="00DB0C98" w:rsidRDefault="00DD4847" w:rsidP="00AA5641">
      <w:r>
        <w:rPr>
          <w:b/>
        </w:rPr>
        <w:t xml:space="preserve">Graphic #4 </w:t>
      </w:r>
      <w:r w:rsidR="00DB0C98">
        <w:t>Mobile Devices:</w:t>
      </w:r>
    </w:p>
    <w:p w:rsidR="00DB0C98" w:rsidRDefault="00DB0C98" w:rsidP="00DB0C98">
      <w:pPr>
        <w:pStyle w:val="ListParagraph"/>
        <w:numPr>
          <w:ilvl w:val="0"/>
          <w:numId w:val="4"/>
        </w:numPr>
      </w:pPr>
      <w:r>
        <w:t>Average direct spend/mobile device $1225</w:t>
      </w:r>
    </w:p>
    <w:p w:rsidR="00DB0C98" w:rsidRDefault="00DB0C98" w:rsidP="00DB0C98">
      <w:pPr>
        <w:pStyle w:val="ListParagraph"/>
        <w:numPr>
          <w:ilvl w:val="0"/>
          <w:numId w:val="4"/>
        </w:numPr>
      </w:pPr>
      <w:r>
        <w:t>Average support cost/mobile device</w:t>
      </w:r>
      <w:r w:rsidR="00DD4847">
        <w:t xml:space="preserve"> $211</w:t>
      </w:r>
    </w:p>
    <w:p w:rsidR="00DB0C98" w:rsidRDefault="00DB0C98" w:rsidP="00DB0C98">
      <w:pPr>
        <w:pStyle w:val="ListParagraph"/>
        <w:numPr>
          <w:ilvl w:val="0"/>
          <w:numId w:val="4"/>
        </w:numPr>
      </w:pPr>
      <w:r>
        <w:t>Support cost as percentage of direct spend</w:t>
      </w:r>
      <w:r w:rsidR="00DD4847">
        <w:t xml:space="preserve"> 23%</w:t>
      </w:r>
    </w:p>
    <w:p w:rsidR="00DB0C98" w:rsidRDefault="00DB0C98" w:rsidP="00DB0C98">
      <w:pPr>
        <w:pStyle w:val="ListParagraph"/>
        <w:numPr>
          <w:ilvl w:val="0"/>
          <w:numId w:val="4"/>
        </w:numPr>
      </w:pPr>
      <w:r>
        <w:t>30% of companies expect a decrease in company provided mobile device yet 64% of companies do not have an active mobile device policy and 67% do not outsource their programs….the meaning behind that is that the companies have more employees BYOD (bring your own device), they don’t have policies in place to manage it and only 27% outsource….if they outsource, they would have a policy and they would be able to get their arms around cost containment and efficiency.</w:t>
      </w:r>
    </w:p>
    <w:p w:rsidR="00AA5641" w:rsidRDefault="00AA5641" w:rsidP="00AA5641"/>
    <w:sectPr w:rsidR="00AA5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A454E"/>
    <w:multiLevelType w:val="hybridMultilevel"/>
    <w:tmpl w:val="E7A43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FA66D4"/>
    <w:multiLevelType w:val="hybridMultilevel"/>
    <w:tmpl w:val="4FF26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BB7317"/>
    <w:multiLevelType w:val="hybridMultilevel"/>
    <w:tmpl w:val="2D8E0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A119F6"/>
    <w:multiLevelType w:val="hybridMultilevel"/>
    <w:tmpl w:val="41585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641"/>
    <w:rsid w:val="000E7B14"/>
    <w:rsid w:val="00940D7D"/>
    <w:rsid w:val="00AA5641"/>
    <w:rsid w:val="00DB0C98"/>
    <w:rsid w:val="00DD4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5641"/>
    <w:pPr>
      <w:ind w:left="720"/>
      <w:contextualSpacing/>
    </w:pPr>
  </w:style>
  <w:style w:type="paragraph" w:styleId="BalloonText">
    <w:name w:val="Balloon Text"/>
    <w:basedOn w:val="Normal"/>
    <w:link w:val="BalloonTextChar"/>
    <w:uiPriority w:val="99"/>
    <w:semiHidden/>
    <w:unhideWhenUsed/>
    <w:rsid w:val="00940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D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5641"/>
    <w:pPr>
      <w:ind w:left="720"/>
      <w:contextualSpacing/>
    </w:pPr>
  </w:style>
  <w:style w:type="paragraph" w:styleId="BalloonText">
    <w:name w:val="Balloon Text"/>
    <w:basedOn w:val="Normal"/>
    <w:link w:val="BalloonTextChar"/>
    <w:uiPriority w:val="99"/>
    <w:semiHidden/>
    <w:unhideWhenUsed/>
    <w:rsid w:val="00940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D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2" Type="http://schemas.openxmlformats.org/officeDocument/2006/relationships/oleObject" Target="file:///\\Recs1\sys\Marketing\_TEM\2012%20TEM\2012%20Data\2012%20Graphs%20&amp;%20Charts\2012Graphs_Charts%20RMB.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
          <c:y val="0.1678665428510201"/>
          <c:w val="0.95299145299145294"/>
          <c:h val="0.39406857115644911"/>
        </c:manualLayout>
      </c:layout>
      <c:lineChart>
        <c:grouping val="standard"/>
        <c:varyColors val="0"/>
        <c:ser>
          <c:idx val="0"/>
          <c:order val="0"/>
          <c:tx>
            <c:strRef>
              <c:f>'2012 Misc Charts'!$H$45</c:f>
              <c:strCache>
                <c:ptCount val="1"/>
                <c:pt idx="0">
                  <c:v>Respondents Who Implemented</c:v>
                </c:pt>
              </c:strCache>
            </c:strRef>
          </c:tx>
          <c:marker>
            <c:symbol val="none"/>
          </c:marker>
          <c:dLbls>
            <c:dLblPos val="t"/>
            <c:showLegendKey val="0"/>
            <c:showVal val="1"/>
            <c:showCatName val="0"/>
            <c:showSerName val="0"/>
            <c:showPercent val="0"/>
            <c:showBubbleSize val="0"/>
            <c:showLeaderLines val="0"/>
          </c:dLbls>
          <c:cat>
            <c:strRef>
              <c:f>'2012 Misc Charts'!$G$47:$G$52</c:f>
              <c:strCache>
                <c:ptCount val="6"/>
                <c:pt idx="0">
                  <c:v>Company Vehicles</c:v>
                </c:pt>
                <c:pt idx="1">
                  <c:v>Relocation Program</c:v>
                </c:pt>
                <c:pt idx="2">
                  <c:v>Expense Mgmt. Software</c:v>
                </c:pt>
                <c:pt idx="3">
                  <c:v>Tools/Software/Apps for Mobile</c:v>
                </c:pt>
                <c:pt idx="4">
                  <c:v>Personal Vehicle Reimbursement Program</c:v>
                </c:pt>
                <c:pt idx="5">
                  <c:v>Mobile Devices</c:v>
                </c:pt>
              </c:strCache>
            </c:strRef>
          </c:cat>
          <c:val>
            <c:numRef>
              <c:f>'2012 Misc Charts'!$H$47:$H$52</c:f>
              <c:numCache>
                <c:formatCode>0%</c:formatCode>
                <c:ptCount val="6"/>
                <c:pt idx="0">
                  <c:v>0.20588235294117646</c:v>
                </c:pt>
                <c:pt idx="1">
                  <c:v>0.22549019607843138</c:v>
                </c:pt>
                <c:pt idx="2">
                  <c:v>0.25490196078431371</c:v>
                </c:pt>
                <c:pt idx="3">
                  <c:v>0.30392156862745096</c:v>
                </c:pt>
                <c:pt idx="4">
                  <c:v>0.48039215686274511</c:v>
                </c:pt>
                <c:pt idx="5">
                  <c:v>0.53921568627450978</c:v>
                </c:pt>
              </c:numCache>
            </c:numRef>
          </c:val>
          <c:smooth val="0"/>
        </c:ser>
        <c:ser>
          <c:idx val="1"/>
          <c:order val="1"/>
          <c:tx>
            <c:strRef>
              <c:f>'2012 Misc Charts'!$I$45</c:f>
              <c:strCache>
                <c:ptCount val="1"/>
                <c:pt idx="0">
                  <c:v>Respondents Reporting Improved Productivity</c:v>
                </c:pt>
              </c:strCache>
            </c:strRef>
          </c:tx>
          <c:marker>
            <c:symbol val="none"/>
          </c:marker>
          <c:dLbls>
            <c:dLblPos val="t"/>
            <c:showLegendKey val="0"/>
            <c:showVal val="1"/>
            <c:showCatName val="0"/>
            <c:showSerName val="0"/>
            <c:showPercent val="0"/>
            <c:showBubbleSize val="0"/>
            <c:showLeaderLines val="0"/>
          </c:dLbls>
          <c:cat>
            <c:strRef>
              <c:f>'2012 Misc Charts'!$G$47:$G$52</c:f>
              <c:strCache>
                <c:ptCount val="6"/>
                <c:pt idx="0">
                  <c:v>Company Vehicles</c:v>
                </c:pt>
                <c:pt idx="1">
                  <c:v>Relocation Program</c:v>
                </c:pt>
                <c:pt idx="2">
                  <c:v>Expense Mgmt. Software</c:v>
                </c:pt>
                <c:pt idx="3">
                  <c:v>Tools/Software/Apps for Mobile</c:v>
                </c:pt>
                <c:pt idx="4">
                  <c:v>Personal Vehicle Reimbursement Program</c:v>
                </c:pt>
                <c:pt idx="5">
                  <c:v>Mobile Devices</c:v>
                </c:pt>
              </c:strCache>
            </c:strRef>
          </c:cat>
          <c:val>
            <c:numRef>
              <c:f>'2012 Misc Charts'!$I$47:$I$52</c:f>
              <c:numCache>
                <c:formatCode>0%</c:formatCode>
                <c:ptCount val="6"/>
                <c:pt idx="0">
                  <c:v>0.80952380952380953</c:v>
                </c:pt>
                <c:pt idx="1">
                  <c:v>0.82608695652173914</c:v>
                </c:pt>
                <c:pt idx="2">
                  <c:v>0.96153846153846156</c:v>
                </c:pt>
                <c:pt idx="3">
                  <c:v>0.87096774193548387</c:v>
                </c:pt>
                <c:pt idx="4">
                  <c:v>0.81632653061224492</c:v>
                </c:pt>
                <c:pt idx="5">
                  <c:v>0.87272727272727268</c:v>
                </c:pt>
              </c:numCache>
            </c:numRef>
          </c:val>
          <c:smooth val="0"/>
        </c:ser>
        <c:dLbls>
          <c:showLegendKey val="0"/>
          <c:showVal val="0"/>
          <c:showCatName val="0"/>
          <c:showSerName val="0"/>
          <c:showPercent val="0"/>
          <c:showBubbleSize val="0"/>
        </c:dLbls>
        <c:marker val="1"/>
        <c:smooth val="0"/>
        <c:axId val="296784640"/>
        <c:axId val="296786176"/>
      </c:lineChart>
      <c:catAx>
        <c:axId val="296784640"/>
        <c:scaling>
          <c:orientation val="minMax"/>
        </c:scaling>
        <c:delete val="0"/>
        <c:axPos val="b"/>
        <c:majorTickMark val="out"/>
        <c:minorTickMark val="none"/>
        <c:tickLblPos val="nextTo"/>
        <c:txPr>
          <a:bodyPr rot="-5400000" vert="horz"/>
          <a:lstStyle/>
          <a:p>
            <a:pPr>
              <a:defRPr sz="1000" b="0"/>
            </a:pPr>
            <a:endParaRPr lang="en-US"/>
          </a:p>
        </c:txPr>
        <c:crossAx val="296786176"/>
        <c:crosses val="autoZero"/>
        <c:auto val="1"/>
        <c:lblAlgn val="ctr"/>
        <c:lblOffset val="100"/>
        <c:noMultiLvlLbl val="0"/>
      </c:catAx>
      <c:valAx>
        <c:axId val="296786176"/>
        <c:scaling>
          <c:orientation val="minMax"/>
        </c:scaling>
        <c:delete val="1"/>
        <c:axPos val="l"/>
        <c:numFmt formatCode="0%" sourceLinked="1"/>
        <c:majorTickMark val="out"/>
        <c:minorTickMark val="none"/>
        <c:tickLblPos val="nextTo"/>
        <c:crossAx val="296784640"/>
        <c:crosses val="autoZero"/>
        <c:crossBetween val="between"/>
      </c:valAx>
      <c:spPr>
        <a:noFill/>
        <a:ln>
          <a:noFill/>
        </a:ln>
      </c:spPr>
    </c:plotArea>
    <c:legend>
      <c:legendPos val="t"/>
      <c:layout/>
      <c:overlay val="0"/>
      <c:txPr>
        <a:bodyPr/>
        <a:lstStyle/>
        <a:p>
          <a:pPr>
            <a:defRPr sz="1000"/>
          </a:pPr>
          <a:endParaRPr lang="en-US"/>
        </a:p>
      </c:txPr>
    </c:legend>
    <c:plotVisOnly val="1"/>
    <c:dispBlanksAs val="gap"/>
    <c:showDLblsOverMax val="0"/>
  </c:chart>
  <c:spPr>
    <a:noFill/>
    <a:ln>
      <a:noFill/>
    </a:ln>
  </c:spPr>
  <c:txPr>
    <a:bodyPr/>
    <a:lstStyle/>
    <a:p>
      <a:pPr>
        <a:defRPr sz="800" b="1">
          <a:latin typeface="Calibri"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47</TotalTime>
  <Pages>2</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Runzheimer International</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Cantwell, Katie (KEC)</dc:creator>
  <cp:lastModifiedBy>Cantwell, Katie (KEC)</cp:lastModifiedBy>
  <cp:revision>1</cp:revision>
  <dcterms:created xsi:type="dcterms:W3CDTF">2013-09-20T14:34:00Z</dcterms:created>
  <dcterms:modified xsi:type="dcterms:W3CDTF">2013-09-20T15:22:00Z</dcterms:modified>
</cp:coreProperties>
</file>